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B7" w:rsidRPr="003F3236" w:rsidRDefault="00426AB7" w:rsidP="00426AB7">
      <w:pPr>
        <w:pStyle w:val="1"/>
        <w:rPr>
          <w:rFonts w:ascii="Times New Roman" w:hAnsi="Times New Roman" w:cs="Times New Roman"/>
          <w:sz w:val="20"/>
          <w:szCs w:val="20"/>
        </w:rPr>
      </w:pPr>
      <w:r w:rsidRPr="003F3236">
        <w:rPr>
          <w:sz w:val="20"/>
          <w:szCs w:val="20"/>
        </w:rPr>
        <w:t>Введение</w:t>
      </w:r>
      <w:bookmarkStart w:id="0" w:name="_GoBack"/>
      <w:bookmarkEnd w:id="0"/>
    </w:p>
    <w:p w:rsidR="00426AB7" w:rsidRPr="003F3236" w:rsidRDefault="00426AB7" w:rsidP="00426AB7">
      <w:pPr>
        <w:spacing w:before="200" w:after="360"/>
        <w:ind w:firstLine="0"/>
        <w:rPr>
          <w:rFonts w:eastAsia="Calibri"/>
          <w:b/>
          <w:color w:val="8496B0" w:themeColor="text2" w:themeTint="99"/>
          <w:sz w:val="20"/>
          <w:szCs w:val="20"/>
        </w:rPr>
      </w:pPr>
      <w:r w:rsidRPr="003F3236">
        <w:rPr>
          <w:rFonts w:eastAsia="Calibri"/>
          <w:b/>
          <w:color w:val="8496B0" w:themeColor="text2" w:themeTint="99"/>
          <w:sz w:val="20"/>
          <w:szCs w:val="20"/>
        </w:rPr>
        <w:t>Основание</w:t>
      </w:r>
    </w:p>
    <w:p w:rsidR="00426AB7" w:rsidRPr="003F3236" w:rsidRDefault="00426AB7" w:rsidP="00426AB7">
      <w:pPr>
        <w:ind w:firstLine="0"/>
        <w:rPr>
          <w:sz w:val="20"/>
          <w:szCs w:val="20"/>
        </w:rPr>
      </w:pPr>
      <w:r w:rsidRPr="003F3236">
        <w:rPr>
          <w:sz w:val="20"/>
          <w:szCs w:val="20"/>
        </w:rPr>
        <w:t>Независимая оценка качества условий оказания услуг в учреждениях культуры Вилюйского района Республики Саха (Якутия) была проведена в соответствии с:</w:t>
      </w:r>
    </w:p>
    <w:p w:rsidR="00426AB7" w:rsidRPr="003F3236" w:rsidRDefault="00426AB7" w:rsidP="00426AB7">
      <w:pPr>
        <w:ind w:firstLine="0"/>
        <w:rPr>
          <w:sz w:val="20"/>
          <w:szCs w:val="20"/>
        </w:rPr>
      </w:pPr>
    </w:p>
    <w:p w:rsidR="00426AB7" w:rsidRPr="003F3236" w:rsidRDefault="00426AB7" w:rsidP="00426AB7">
      <w:pPr>
        <w:numPr>
          <w:ilvl w:val="0"/>
          <w:numId w:val="4"/>
        </w:numPr>
        <w:spacing w:after="120"/>
        <w:ind w:left="714" w:hanging="357"/>
        <w:rPr>
          <w:sz w:val="20"/>
          <w:szCs w:val="20"/>
        </w:rPr>
      </w:pPr>
      <w:r w:rsidRPr="003F3236">
        <w:rPr>
          <w:sz w:val="20"/>
          <w:szCs w:val="20"/>
        </w:rPr>
        <w:t>Требованиями закона Российской Федерации от 9 октября 1992 г. № 3612-1 «Основы законодательства Российской Федерации о культуре»</w:t>
      </w:r>
    </w:p>
    <w:p w:rsidR="00426AB7" w:rsidRPr="003F3236" w:rsidRDefault="00426AB7" w:rsidP="00426AB7">
      <w:pPr>
        <w:numPr>
          <w:ilvl w:val="0"/>
          <w:numId w:val="4"/>
        </w:numPr>
        <w:spacing w:after="120"/>
        <w:ind w:left="714" w:hanging="357"/>
        <w:rPr>
          <w:sz w:val="20"/>
          <w:szCs w:val="20"/>
        </w:rPr>
      </w:pPr>
      <w:r w:rsidRPr="003F3236">
        <w:rPr>
          <w:sz w:val="20"/>
          <w:szCs w:val="20"/>
        </w:rPr>
        <w:t>Приказом Министерства культуры Российской Федерации от 20 февраля 2015 г.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</w:r>
    </w:p>
    <w:p w:rsidR="00426AB7" w:rsidRPr="003F3236" w:rsidRDefault="00426AB7" w:rsidP="00426AB7">
      <w:pPr>
        <w:numPr>
          <w:ilvl w:val="0"/>
          <w:numId w:val="4"/>
        </w:numPr>
        <w:spacing w:after="120"/>
        <w:ind w:left="714" w:hanging="357"/>
        <w:rPr>
          <w:sz w:val="20"/>
          <w:szCs w:val="20"/>
        </w:rPr>
      </w:pPr>
      <w:r w:rsidRPr="003F3236">
        <w:rPr>
          <w:sz w:val="20"/>
          <w:szCs w:val="20"/>
        </w:rPr>
        <w:t>Приказом Министерства культуры Российской Федерации от 27 апреля 2018 г. № 599 «Об утверждении показателей, характеризующих общие критерии оценки качества условий оказания услуг организациями культуры»</w:t>
      </w:r>
    </w:p>
    <w:p w:rsidR="00426AB7" w:rsidRPr="003F3236" w:rsidRDefault="00426AB7" w:rsidP="00426AB7">
      <w:pPr>
        <w:numPr>
          <w:ilvl w:val="0"/>
          <w:numId w:val="4"/>
        </w:numPr>
        <w:spacing w:after="120"/>
        <w:ind w:left="714" w:hanging="357"/>
        <w:rPr>
          <w:sz w:val="20"/>
          <w:szCs w:val="20"/>
        </w:rPr>
      </w:pPr>
      <w:r w:rsidRPr="003F3236">
        <w:rPr>
          <w:sz w:val="20"/>
          <w:szCs w:val="20"/>
        </w:rPr>
        <w:t>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426AB7" w:rsidRPr="003F3236" w:rsidRDefault="00426AB7" w:rsidP="00426AB7">
      <w:pPr>
        <w:numPr>
          <w:ilvl w:val="0"/>
          <w:numId w:val="4"/>
        </w:numPr>
        <w:spacing w:after="120"/>
        <w:ind w:left="714" w:hanging="357"/>
        <w:rPr>
          <w:sz w:val="20"/>
          <w:szCs w:val="20"/>
        </w:rPr>
      </w:pPr>
      <w:r w:rsidRPr="003F3236">
        <w:rPr>
          <w:sz w:val="20"/>
          <w:szCs w:val="20"/>
        </w:rPr>
        <w:t>Приказом Министерства труда и социальной защиты Российской Федерации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426AB7" w:rsidRPr="003F3236" w:rsidRDefault="00426AB7" w:rsidP="00426AB7">
      <w:pPr>
        <w:numPr>
          <w:ilvl w:val="0"/>
          <w:numId w:val="4"/>
        </w:numPr>
        <w:spacing w:after="120"/>
        <w:ind w:left="714" w:hanging="357"/>
        <w:rPr>
          <w:sz w:val="20"/>
          <w:szCs w:val="20"/>
        </w:rPr>
      </w:pPr>
      <w:r w:rsidRPr="003F3236">
        <w:rPr>
          <w:sz w:val="20"/>
          <w:szCs w:val="20"/>
        </w:rPr>
        <w:t>Приказом Министерства труда и социальной защиты Российской Федерации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(зарегистрировано в Минюсте России 20 ноября 2018 г. № 52726)</w:t>
      </w:r>
    </w:p>
    <w:p w:rsidR="00426AB7" w:rsidRPr="003F3236" w:rsidRDefault="00426AB7" w:rsidP="00426AB7">
      <w:pPr>
        <w:numPr>
          <w:ilvl w:val="0"/>
          <w:numId w:val="4"/>
        </w:numPr>
        <w:spacing w:after="120"/>
        <w:ind w:left="714" w:hanging="357"/>
        <w:rPr>
          <w:sz w:val="20"/>
          <w:szCs w:val="20"/>
        </w:rPr>
      </w:pPr>
      <w:r w:rsidRPr="003F3236">
        <w:rPr>
          <w:sz w:val="20"/>
          <w:szCs w:val="20"/>
        </w:rPr>
        <w:t>Письмом Министерства культуры Российской Федерации от 24 августа 2018 г. № 787-13-04.</w:t>
      </w:r>
    </w:p>
    <w:p w:rsidR="00426AB7" w:rsidRPr="003F3236" w:rsidRDefault="00426AB7" w:rsidP="00426AB7">
      <w:pPr>
        <w:pageBreakBefore/>
        <w:spacing w:before="200" w:after="360"/>
        <w:ind w:firstLine="0"/>
        <w:rPr>
          <w:rFonts w:eastAsia="Calibri"/>
          <w:b/>
          <w:color w:val="8496B0" w:themeColor="text2" w:themeTint="99"/>
          <w:sz w:val="20"/>
          <w:szCs w:val="20"/>
        </w:rPr>
      </w:pPr>
      <w:r w:rsidRPr="003F3236">
        <w:rPr>
          <w:rFonts w:eastAsia="Calibri"/>
          <w:b/>
          <w:color w:val="8496B0" w:themeColor="text2" w:themeTint="99"/>
          <w:sz w:val="20"/>
          <w:szCs w:val="20"/>
        </w:rPr>
        <w:lastRenderedPageBreak/>
        <w:t xml:space="preserve">Цель исследования </w:t>
      </w:r>
    </w:p>
    <w:p w:rsidR="00426AB7" w:rsidRPr="003F3236" w:rsidRDefault="00426AB7" w:rsidP="00426AB7">
      <w:pPr>
        <w:ind w:firstLine="0"/>
        <w:rPr>
          <w:rFonts w:eastAsia="Calibri"/>
          <w:color w:val="262626"/>
          <w:sz w:val="20"/>
          <w:szCs w:val="20"/>
        </w:rPr>
      </w:pPr>
      <w:r w:rsidRPr="003F3236">
        <w:rPr>
          <w:rFonts w:eastAsia="Calibri"/>
          <w:color w:val="262626"/>
          <w:sz w:val="20"/>
          <w:szCs w:val="20"/>
        </w:rPr>
        <w:t>Независимая оценка качества условий оказания услуг организациями культуры и рейтинг организаций по итогам данной оценки.</w:t>
      </w:r>
    </w:p>
    <w:p w:rsidR="00426AB7" w:rsidRPr="003F3236" w:rsidRDefault="00426AB7" w:rsidP="00426AB7">
      <w:pPr>
        <w:spacing w:before="200" w:after="360"/>
        <w:ind w:firstLine="0"/>
        <w:rPr>
          <w:rFonts w:eastAsia="Calibri"/>
          <w:b/>
          <w:color w:val="8496B0" w:themeColor="text2" w:themeTint="99"/>
          <w:sz w:val="20"/>
          <w:szCs w:val="20"/>
        </w:rPr>
      </w:pPr>
      <w:r w:rsidRPr="003F3236">
        <w:rPr>
          <w:rFonts w:eastAsia="Calibri"/>
          <w:b/>
          <w:color w:val="8496B0" w:themeColor="text2" w:themeTint="99"/>
          <w:sz w:val="20"/>
          <w:szCs w:val="20"/>
        </w:rPr>
        <w:t>Задачи исследования</w:t>
      </w:r>
    </w:p>
    <w:p w:rsidR="00426AB7" w:rsidRPr="003F3236" w:rsidRDefault="00426AB7" w:rsidP="00426AB7">
      <w:pPr>
        <w:numPr>
          <w:ilvl w:val="0"/>
          <w:numId w:val="1"/>
        </w:numPr>
        <w:spacing w:after="120"/>
        <w:ind w:left="709" w:hanging="283"/>
        <w:rPr>
          <w:rFonts w:eastAsia="Calibri"/>
          <w:color w:val="262626"/>
          <w:sz w:val="20"/>
          <w:szCs w:val="20"/>
        </w:rPr>
      </w:pPr>
      <w:r w:rsidRPr="003F3236">
        <w:rPr>
          <w:rFonts w:eastAsia="Calibri"/>
          <w:color w:val="262626"/>
          <w:sz w:val="20"/>
          <w:szCs w:val="20"/>
        </w:rPr>
        <w:t>оценка качества условий оказания услуг в организациях культуры;</w:t>
      </w:r>
    </w:p>
    <w:p w:rsidR="00426AB7" w:rsidRPr="003F3236" w:rsidRDefault="00426AB7" w:rsidP="00426AB7">
      <w:pPr>
        <w:numPr>
          <w:ilvl w:val="0"/>
          <w:numId w:val="1"/>
        </w:numPr>
        <w:spacing w:after="120"/>
        <w:ind w:left="709" w:hanging="283"/>
        <w:rPr>
          <w:rFonts w:eastAsia="Calibri"/>
          <w:color w:val="262626"/>
          <w:sz w:val="20"/>
          <w:szCs w:val="20"/>
        </w:rPr>
      </w:pPr>
      <w:r w:rsidRPr="003F3236">
        <w:rPr>
          <w:rFonts w:eastAsia="Calibri"/>
          <w:color w:val="262626"/>
          <w:sz w:val="20"/>
          <w:szCs w:val="20"/>
        </w:rPr>
        <w:t>определение уровня удовлетворенности получателей услуг качеством услуг, предоставляемых учреждениями культуры Вилюйского района Республики Саха (Якутия);</w:t>
      </w:r>
    </w:p>
    <w:p w:rsidR="00426AB7" w:rsidRPr="003F3236" w:rsidRDefault="00426AB7" w:rsidP="00426AB7">
      <w:pPr>
        <w:numPr>
          <w:ilvl w:val="0"/>
          <w:numId w:val="1"/>
        </w:numPr>
        <w:spacing w:after="120"/>
        <w:ind w:left="709" w:hanging="283"/>
        <w:rPr>
          <w:rFonts w:eastAsia="Calibri"/>
          <w:color w:val="262626"/>
          <w:sz w:val="20"/>
          <w:szCs w:val="20"/>
        </w:rPr>
      </w:pPr>
      <w:r w:rsidRPr="003F3236">
        <w:rPr>
          <w:rFonts w:eastAsia="Calibri"/>
          <w:color w:val="262626"/>
          <w:sz w:val="20"/>
          <w:szCs w:val="20"/>
        </w:rPr>
        <w:t>формирование предложений о повышении качества предоставляемых услуг организациями культуры.</w:t>
      </w:r>
    </w:p>
    <w:p w:rsidR="00426AB7" w:rsidRPr="003F3236" w:rsidRDefault="00426AB7" w:rsidP="00426AB7">
      <w:pPr>
        <w:spacing w:before="200" w:after="360"/>
        <w:ind w:firstLine="0"/>
        <w:rPr>
          <w:rFonts w:eastAsia="Calibri"/>
          <w:b/>
          <w:color w:val="8496B0" w:themeColor="text2" w:themeTint="99"/>
          <w:sz w:val="20"/>
          <w:szCs w:val="20"/>
        </w:rPr>
      </w:pPr>
      <w:r w:rsidRPr="003F3236">
        <w:rPr>
          <w:rFonts w:eastAsia="Calibri"/>
          <w:b/>
          <w:color w:val="8496B0" w:themeColor="text2" w:themeTint="99"/>
          <w:sz w:val="20"/>
          <w:szCs w:val="20"/>
        </w:rPr>
        <w:t>Объект исследования</w:t>
      </w:r>
    </w:p>
    <w:p w:rsidR="00426AB7" w:rsidRPr="003F3236" w:rsidRDefault="00426AB7" w:rsidP="00426AB7">
      <w:pPr>
        <w:ind w:firstLine="0"/>
        <w:rPr>
          <w:b/>
          <w:color w:val="323232"/>
          <w:sz w:val="20"/>
          <w:szCs w:val="20"/>
        </w:rPr>
      </w:pPr>
      <w:r w:rsidRPr="003F3236">
        <w:rPr>
          <w:sz w:val="20"/>
          <w:szCs w:val="20"/>
        </w:rPr>
        <w:t xml:space="preserve">Объектом исследования являются организации </w:t>
      </w:r>
      <w:r w:rsidRPr="003F3236">
        <w:rPr>
          <w:rFonts w:eastAsia="Calibri"/>
          <w:color w:val="262626"/>
          <w:sz w:val="20"/>
          <w:szCs w:val="20"/>
        </w:rPr>
        <w:t>культуры</w:t>
      </w:r>
      <w:r w:rsidRPr="003F3236">
        <w:rPr>
          <w:sz w:val="20"/>
          <w:szCs w:val="20"/>
        </w:rPr>
        <w:t>,</w:t>
      </w:r>
      <w:r w:rsidRPr="003F3236">
        <w:rPr>
          <w:rFonts w:eastAsia="Calibri"/>
          <w:color w:val="262626"/>
          <w:sz w:val="20"/>
          <w:szCs w:val="20"/>
        </w:rPr>
        <w:t xml:space="preserve"> </w:t>
      </w:r>
      <w:r w:rsidRPr="003F3236">
        <w:rPr>
          <w:sz w:val="20"/>
          <w:szCs w:val="20"/>
        </w:rPr>
        <w:t>расположенные на территории Вилюйского района Республики Саха (Якутия).</w:t>
      </w:r>
    </w:p>
    <w:p w:rsidR="00426AB7" w:rsidRPr="003F3236" w:rsidRDefault="00426AB7" w:rsidP="00426AB7">
      <w:pPr>
        <w:spacing w:before="200" w:after="360"/>
        <w:ind w:firstLine="0"/>
        <w:rPr>
          <w:rFonts w:eastAsia="Calibri"/>
          <w:b/>
          <w:color w:val="8496B0" w:themeColor="text2" w:themeTint="99"/>
          <w:sz w:val="20"/>
          <w:szCs w:val="20"/>
        </w:rPr>
      </w:pPr>
      <w:r w:rsidRPr="003F3236">
        <w:rPr>
          <w:rFonts w:eastAsia="Calibri"/>
          <w:b/>
          <w:color w:val="8496B0" w:themeColor="text2" w:themeTint="99"/>
          <w:sz w:val="20"/>
          <w:szCs w:val="20"/>
        </w:rPr>
        <w:t>Предмет исследования</w:t>
      </w:r>
    </w:p>
    <w:p w:rsidR="00426AB7" w:rsidRPr="003F3236" w:rsidRDefault="00426AB7" w:rsidP="00426AB7">
      <w:pPr>
        <w:ind w:firstLine="0"/>
        <w:rPr>
          <w:sz w:val="20"/>
          <w:szCs w:val="20"/>
        </w:rPr>
      </w:pPr>
      <w:r w:rsidRPr="003F3236">
        <w:rPr>
          <w:sz w:val="20"/>
          <w:szCs w:val="20"/>
        </w:rPr>
        <w:t>Предметом проведения независимой оценки качества условий оказания услуг населению является осуществление сбора и обобщения информации о качестве условий оказания услуг организациями культуры по следующим общим критериям:</w:t>
      </w:r>
    </w:p>
    <w:p w:rsidR="00426AB7" w:rsidRPr="003F3236" w:rsidRDefault="00426AB7" w:rsidP="00426AB7">
      <w:pPr>
        <w:numPr>
          <w:ilvl w:val="0"/>
          <w:numId w:val="3"/>
        </w:numPr>
        <w:ind w:left="1134" w:hanging="283"/>
        <w:contextualSpacing/>
        <w:rPr>
          <w:sz w:val="20"/>
          <w:szCs w:val="20"/>
        </w:rPr>
      </w:pPr>
      <w:r w:rsidRPr="003F3236">
        <w:rPr>
          <w:sz w:val="20"/>
          <w:szCs w:val="20"/>
        </w:rPr>
        <w:t>открытость и доступность информации об организации;</w:t>
      </w:r>
    </w:p>
    <w:p w:rsidR="00426AB7" w:rsidRPr="003F3236" w:rsidRDefault="00426AB7" w:rsidP="00426AB7">
      <w:pPr>
        <w:numPr>
          <w:ilvl w:val="0"/>
          <w:numId w:val="3"/>
        </w:numPr>
        <w:ind w:left="1134" w:hanging="283"/>
        <w:contextualSpacing/>
        <w:rPr>
          <w:sz w:val="20"/>
          <w:szCs w:val="20"/>
        </w:rPr>
      </w:pPr>
      <w:r w:rsidRPr="003F3236">
        <w:rPr>
          <w:sz w:val="20"/>
          <w:szCs w:val="20"/>
        </w:rPr>
        <w:t>комфортность условий предоставления услуг;</w:t>
      </w:r>
    </w:p>
    <w:p w:rsidR="00426AB7" w:rsidRPr="003F3236" w:rsidRDefault="00426AB7" w:rsidP="00426AB7">
      <w:pPr>
        <w:numPr>
          <w:ilvl w:val="0"/>
          <w:numId w:val="3"/>
        </w:numPr>
        <w:ind w:left="1134" w:hanging="283"/>
        <w:contextualSpacing/>
        <w:rPr>
          <w:sz w:val="20"/>
          <w:szCs w:val="20"/>
        </w:rPr>
      </w:pPr>
      <w:r w:rsidRPr="003F3236">
        <w:rPr>
          <w:sz w:val="20"/>
          <w:szCs w:val="20"/>
        </w:rPr>
        <w:t>доступность услуг для инвалидов;</w:t>
      </w:r>
    </w:p>
    <w:p w:rsidR="00426AB7" w:rsidRPr="003F3236" w:rsidRDefault="00426AB7" w:rsidP="00426AB7">
      <w:pPr>
        <w:numPr>
          <w:ilvl w:val="0"/>
          <w:numId w:val="3"/>
        </w:numPr>
        <w:ind w:left="1134" w:hanging="283"/>
        <w:contextualSpacing/>
        <w:rPr>
          <w:sz w:val="20"/>
          <w:szCs w:val="20"/>
        </w:rPr>
      </w:pPr>
      <w:r w:rsidRPr="003F3236">
        <w:rPr>
          <w:sz w:val="20"/>
          <w:szCs w:val="20"/>
        </w:rPr>
        <w:t>доброжелательность, вежливость работников организации;</w:t>
      </w:r>
    </w:p>
    <w:p w:rsidR="00426AB7" w:rsidRPr="003F3236" w:rsidRDefault="00426AB7" w:rsidP="00426AB7">
      <w:pPr>
        <w:numPr>
          <w:ilvl w:val="0"/>
          <w:numId w:val="3"/>
        </w:numPr>
        <w:ind w:left="1134" w:hanging="283"/>
        <w:contextualSpacing/>
        <w:rPr>
          <w:sz w:val="20"/>
          <w:szCs w:val="20"/>
        </w:rPr>
      </w:pPr>
      <w:r w:rsidRPr="003F3236">
        <w:rPr>
          <w:sz w:val="20"/>
          <w:szCs w:val="20"/>
        </w:rPr>
        <w:t>удовлетворенность условиями оказания услуг.</w:t>
      </w:r>
    </w:p>
    <w:p w:rsidR="00426AB7" w:rsidRPr="003F3236" w:rsidRDefault="00426AB7" w:rsidP="00426AB7">
      <w:pPr>
        <w:ind w:firstLine="0"/>
        <w:rPr>
          <w:sz w:val="20"/>
          <w:szCs w:val="20"/>
        </w:rPr>
      </w:pPr>
    </w:p>
    <w:p w:rsidR="00426AB7" w:rsidRPr="003F3236" w:rsidRDefault="00426AB7" w:rsidP="00426AB7">
      <w:pPr>
        <w:ind w:firstLine="0"/>
        <w:rPr>
          <w:sz w:val="20"/>
          <w:szCs w:val="20"/>
        </w:rPr>
      </w:pPr>
      <w:r w:rsidRPr="003F3236">
        <w:rPr>
          <w:sz w:val="20"/>
          <w:szCs w:val="20"/>
        </w:rPr>
        <w:t xml:space="preserve">Критерии оценки качества условий оказания услуг, показатели и формулы расчета представлены в Приложениях 2,3,4,5. </w:t>
      </w:r>
    </w:p>
    <w:p w:rsidR="00426AB7" w:rsidRPr="003F3236" w:rsidRDefault="00426AB7" w:rsidP="00426AB7">
      <w:pPr>
        <w:ind w:firstLine="0"/>
        <w:rPr>
          <w:sz w:val="20"/>
          <w:szCs w:val="20"/>
        </w:rPr>
      </w:pPr>
    </w:p>
    <w:p w:rsidR="00426AB7" w:rsidRPr="003F3236" w:rsidRDefault="00426AB7" w:rsidP="00426AB7">
      <w:pPr>
        <w:spacing w:before="200" w:after="360"/>
        <w:ind w:firstLine="0"/>
        <w:rPr>
          <w:rFonts w:eastAsia="Calibri"/>
          <w:b/>
          <w:color w:val="8496B0" w:themeColor="text2" w:themeTint="99"/>
          <w:sz w:val="20"/>
          <w:szCs w:val="20"/>
        </w:rPr>
      </w:pPr>
      <w:r w:rsidRPr="003F3236">
        <w:rPr>
          <w:rFonts w:eastAsia="Calibri"/>
          <w:b/>
          <w:color w:val="8496B0" w:themeColor="text2" w:themeTint="99"/>
          <w:sz w:val="20"/>
          <w:szCs w:val="20"/>
        </w:rPr>
        <w:t>Методы исследования (сбора данных)</w:t>
      </w:r>
    </w:p>
    <w:p w:rsidR="00426AB7" w:rsidRPr="003F3236" w:rsidRDefault="00426AB7" w:rsidP="00426AB7">
      <w:pPr>
        <w:ind w:firstLine="0"/>
        <w:rPr>
          <w:bCs w:val="0"/>
          <w:sz w:val="20"/>
          <w:szCs w:val="20"/>
        </w:rPr>
      </w:pPr>
      <w:r w:rsidRPr="003F3236">
        <w:rPr>
          <w:sz w:val="20"/>
          <w:szCs w:val="20"/>
        </w:rPr>
        <w:t xml:space="preserve">Сбор данных в целях оценивания организаций социального обслуживания был осуществлен следующими методами: </w:t>
      </w:r>
    </w:p>
    <w:p w:rsidR="00426AB7" w:rsidRPr="003F3236" w:rsidRDefault="00426AB7" w:rsidP="00426AB7">
      <w:pPr>
        <w:numPr>
          <w:ilvl w:val="0"/>
          <w:numId w:val="2"/>
        </w:numPr>
        <w:tabs>
          <w:tab w:val="left" w:pos="1134"/>
        </w:tabs>
        <w:spacing w:after="120"/>
        <w:ind w:left="851" w:hanging="491"/>
        <w:rPr>
          <w:bCs w:val="0"/>
          <w:sz w:val="20"/>
          <w:szCs w:val="20"/>
        </w:rPr>
      </w:pPr>
      <w:r w:rsidRPr="003F3236">
        <w:rPr>
          <w:sz w:val="20"/>
          <w:szCs w:val="20"/>
        </w:rPr>
        <w:t xml:space="preserve">Изучение и оценка информации, размещенной на официальных сайтах в сети «Интернет» и информационных стендах в помещениях организаций культуры </w:t>
      </w:r>
      <w:r w:rsidRPr="003F3236">
        <w:rPr>
          <w:rFonts w:eastAsia="Calibri"/>
          <w:color w:val="262626"/>
          <w:sz w:val="20"/>
          <w:szCs w:val="20"/>
        </w:rPr>
        <w:t xml:space="preserve">на соответствие информации о деятельности организации ее содержанию и форме, установленным нормативными правовыми актами. </w:t>
      </w:r>
    </w:p>
    <w:p w:rsidR="00426AB7" w:rsidRPr="003F3236" w:rsidRDefault="00426AB7" w:rsidP="00426AB7">
      <w:pPr>
        <w:numPr>
          <w:ilvl w:val="0"/>
          <w:numId w:val="2"/>
        </w:numPr>
        <w:tabs>
          <w:tab w:val="left" w:pos="1134"/>
        </w:tabs>
        <w:spacing w:after="120"/>
        <w:ind w:left="851" w:hanging="491"/>
        <w:rPr>
          <w:bCs w:val="0"/>
          <w:sz w:val="20"/>
          <w:szCs w:val="20"/>
        </w:rPr>
      </w:pPr>
      <w:r w:rsidRPr="003F3236">
        <w:rPr>
          <w:sz w:val="20"/>
          <w:szCs w:val="20"/>
        </w:rPr>
        <w:t>Структурированное наблюдение. Обследование условий оказания услуг организациями культуры</w:t>
      </w:r>
    </w:p>
    <w:p w:rsidR="00426AB7" w:rsidRPr="003F3236" w:rsidRDefault="00426AB7" w:rsidP="00426AB7">
      <w:pPr>
        <w:numPr>
          <w:ilvl w:val="0"/>
          <w:numId w:val="2"/>
        </w:numPr>
        <w:tabs>
          <w:tab w:val="left" w:pos="1134"/>
        </w:tabs>
        <w:spacing w:after="120"/>
        <w:ind w:left="851" w:hanging="491"/>
        <w:rPr>
          <w:sz w:val="20"/>
          <w:szCs w:val="20"/>
        </w:rPr>
      </w:pPr>
      <w:r w:rsidRPr="003F3236">
        <w:rPr>
          <w:sz w:val="20"/>
          <w:szCs w:val="20"/>
        </w:rPr>
        <w:t xml:space="preserve">Опрос получателей социальных услуг в следующих формах: </w:t>
      </w:r>
    </w:p>
    <w:p w:rsidR="00426AB7" w:rsidRPr="003F3236" w:rsidRDefault="00426AB7" w:rsidP="00426AB7">
      <w:pPr>
        <w:numPr>
          <w:ilvl w:val="0"/>
          <w:numId w:val="5"/>
        </w:numPr>
        <w:autoSpaceDE/>
        <w:autoSpaceDN/>
        <w:adjustRightInd/>
        <w:spacing w:line="259" w:lineRule="auto"/>
        <w:contextualSpacing/>
        <w:rPr>
          <w:sz w:val="20"/>
          <w:szCs w:val="20"/>
        </w:rPr>
      </w:pPr>
      <w:r w:rsidRPr="003F3236">
        <w:rPr>
          <w:i/>
          <w:sz w:val="20"/>
          <w:szCs w:val="20"/>
        </w:rPr>
        <w:t>Онлайн-опрос</w:t>
      </w:r>
      <w:r w:rsidRPr="003F3236">
        <w:rPr>
          <w:sz w:val="20"/>
          <w:szCs w:val="20"/>
        </w:rPr>
        <w:t>. Опрос получателей услуг путем заполнения в информационно-телекоммуникационной сети «Интернет» анкеты в интерактивной форме, с обязательным использованием методов защиты от роботизированного ввода ответов.</w:t>
      </w:r>
    </w:p>
    <w:p w:rsidR="00426AB7" w:rsidRPr="003F3236" w:rsidRDefault="00426AB7" w:rsidP="00426AB7">
      <w:pPr>
        <w:numPr>
          <w:ilvl w:val="0"/>
          <w:numId w:val="5"/>
        </w:numPr>
        <w:autoSpaceDE/>
        <w:autoSpaceDN/>
        <w:adjustRightInd/>
        <w:spacing w:line="259" w:lineRule="auto"/>
        <w:contextualSpacing/>
        <w:rPr>
          <w:sz w:val="20"/>
          <w:szCs w:val="20"/>
        </w:rPr>
      </w:pPr>
      <w:r w:rsidRPr="003F3236">
        <w:rPr>
          <w:i/>
          <w:sz w:val="20"/>
          <w:szCs w:val="20"/>
        </w:rPr>
        <w:t>Личный опрос</w:t>
      </w:r>
      <w:r w:rsidRPr="003F3236">
        <w:rPr>
          <w:sz w:val="20"/>
          <w:szCs w:val="20"/>
        </w:rPr>
        <w:t xml:space="preserve"> (социологическое исследование). Опрос получателей услуг в устной форме с последующим занесением данных в анкету либо заполнение получателем услуг анкеты на бумажном носителе. </w:t>
      </w:r>
    </w:p>
    <w:p w:rsidR="00426AB7" w:rsidRPr="003F3236" w:rsidRDefault="00426AB7" w:rsidP="00426AB7">
      <w:pPr>
        <w:spacing w:before="200" w:after="360"/>
        <w:ind w:firstLine="0"/>
        <w:rPr>
          <w:rFonts w:eastAsia="Calibri"/>
          <w:b/>
          <w:color w:val="8496B0" w:themeColor="text2" w:themeTint="99"/>
          <w:sz w:val="20"/>
          <w:szCs w:val="20"/>
        </w:rPr>
      </w:pPr>
      <w:r w:rsidRPr="003F3236">
        <w:rPr>
          <w:rFonts w:eastAsia="Calibri"/>
          <w:b/>
          <w:color w:val="8496B0" w:themeColor="text2" w:themeTint="99"/>
          <w:sz w:val="20"/>
          <w:szCs w:val="20"/>
        </w:rPr>
        <w:t>Выборка</w:t>
      </w:r>
    </w:p>
    <w:p w:rsidR="00426AB7" w:rsidRPr="003F3236" w:rsidRDefault="00426AB7" w:rsidP="00426AB7">
      <w:pPr>
        <w:spacing w:after="120"/>
        <w:ind w:firstLine="0"/>
        <w:rPr>
          <w:sz w:val="20"/>
          <w:szCs w:val="20"/>
        </w:rPr>
      </w:pPr>
      <w:r w:rsidRPr="003F3236">
        <w:rPr>
          <w:sz w:val="20"/>
          <w:szCs w:val="20"/>
        </w:rPr>
        <w:t xml:space="preserve">Тип выборки – неслучайная, целевая: </w:t>
      </w:r>
    </w:p>
    <w:p w:rsidR="00426AB7" w:rsidRPr="003F3236" w:rsidRDefault="00426AB7" w:rsidP="00426AB7">
      <w:pPr>
        <w:ind w:firstLine="0"/>
        <w:rPr>
          <w:sz w:val="20"/>
          <w:szCs w:val="20"/>
        </w:rPr>
      </w:pPr>
      <w:r w:rsidRPr="003F3236">
        <w:rPr>
          <w:sz w:val="20"/>
          <w:szCs w:val="20"/>
        </w:rPr>
        <w:t xml:space="preserve">1. </w:t>
      </w:r>
      <w:r w:rsidRPr="003F3236">
        <w:rPr>
          <w:b/>
          <w:sz w:val="20"/>
          <w:szCs w:val="20"/>
        </w:rPr>
        <w:t>Оцениваемые организации</w:t>
      </w:r>
      <w:r w:rsidRPr="003F3236">
        <w:rPr>
          <w:sz w:val="20"/>
          <w:szCs w:val="20"/>
        </w:rPr>
        <w:t xml:space="preserve"> - </w:t>
      </w:r>
      <w:r w:rsidRPr="003F3236">
        <w:rPr>
          <w:b/>
          <w:sz w:val="20"/>
          <w:szCs w:val="20"/>
        </w:rPr>
        <w:t>7</w:t>
      </w:r>
      <w:r w:rsidRPr="003F3236">
        <w:rPr>
          <w:sz w:val="20"/>
          <w:szCs w:val="20"/>
        </w:rPr>
        <w:t xml:space="preserve"> учреждений культуры Вилюйского района Республики Саха (Якутия).</w:t>
      </w:r>
    </w:p>
    <w:p w:rsidR="00426AB7" w:rsidRPr="003F3236" w:rsidRDefault="00426AB7" w:rsidP="00426AB7">
      <w:pPr>
        <w:ind w:firstLine="0"/>
        <w:rPr>
          <w:sz w:val="20"/>
          <w:szCs w:val="20"/>
        </w:rPr>
      </w:pPr>
      <w:r w:rsidRPr="003F3236">
        <w:rPr>
          <w:sz w:val="20"/>
          <w:szCs w:val="20"/>
        </w:rPr>
        <w:t xml:space="preserve">Перечень обследуемых организаций представлен в Приложении 1. </w:t>
      </w:r>
    </w:p>
    <w:p w:rsidR="00426AB7" w:rsidRPr="003F3236" w:rsidRDefault="00426AB7" w:rsidP="00426AB7">
      <w:pPr>
        <w:ind w:firstLine="0"/>
        <w:rPr>
          <w:bCs w:val="0"/>
          <w:sz w:val="20"/>
          <w:szCs w:val="20"/>
        </w:rPr>
      </w:pPr>
    </w:p>
    <w:p w:rsidR="00426AB7" w:rsidRPr="003F3236" w:rsidRDefault="00426AB7" w:rsidP="00426AB7">
      <w:pPr>
        <w:ind w:firstLine="0"/>
        <w:rPr>
          <w:sz w:val="20"/>
          <w:szCs w:val="20"/>
        </w:rPr>
      </w:pPr>
      <w:r w:rsidRPr="003F3236">
        <w:rPr>
          <w:sz w:val="20"/>
          <w:szCs w:val="20"/>
        </w:rPr>
        <w:lastRenderedPageBreak/>
        <w:t xml:space="preserve">2. </w:t>
      </w:r>
      <w:r w:rsidRPr="003F3236">
        <w:rPr>
          <w:b/>
          <w:sz w:val="20"/>
          <w:szCs w:val="20"/>
        </w:rPr>
        <w:t xml:space="preserve">Получатели </w:t>
      </w:r>
      <w:proofErr w:type="gramStart"/>
      <w:r w:rsidRPr="003F3236">
        <w:rPr>
          <w:b/>
          <w:sz w:val="20"/>
          <w:szCs w:val="20"/>
        </w:rPr>
        <w:t>услуг</w:t>
      </w:r>
      <w:r w:rsidRPr="003F3236">
        <w:rPr>
          <w:sz w:val="20"/>
          <w:szCs w:val="20"/>
        </w:rPr>
        <w:t xml:space="preserve">  -</w:t>
      </w:r>
      <w:proofErr w:type="gramEnd"/>
      <w:r w:rsidRPr="003F3236">
        <w:rPr>
          <w:sz w:val="20"/>
          <w:szCs w:val="20"/>
        </w:rPr>
        <w:t xml:space="preserve"> получатели услуг, посетившие организацию культуры, совершеннолетние граждане, а также совершеннолетние граждане, являющиеся полномочными представителями несовершеннолетних получателей услуг, посетивших организацию культуры.</w:t>
      </w:r>
    </w:p>
    <w:p w:rsidR="00426AB7" w:rsidRPr="003F3236" w:rsidRDefault="00426AB7" w:rsidP="00426AB7">
      <w:pPr>
        <w:ind w:firstLine="0"/>
        <w:rPr>
          <w:sz w:val="20"/>
          <w:szCs w:val="20"/>
        </w:rPr>
      </w:pPr>
    </w:p>
    <w:p w:rsidR="00426AB7" w:rsidRPr="003F3236" w:rsidRDefault="00426AB7" w:rsidP="00426AB7">
      <w:pPr>
        <w:ind w:firstLine="0"/>
        <w:rPr>
          <w:sz w:val="20"/>
          <w:szCs w:val="20"/>
        </w:rPr>
      </w:pPr>
      <w:r w:rsidRPr="003F3236">
        <w:rPr>
          <w:sz w:val="20"/>
          <w:szCs w:val="20"/>
        </w:rPr>
        <w:t xml:space="preserve">Объем выборки получателей услуг составил </w:t>
      </w:r>
      <w:r w:rsidRPr="003F3236">
        <w:rPr>
          <w:b/>
          <w:sz w:val="20"/>
          <w:szCs w:val="20"/>
        </w:rPr>
        <w:t>4 945</w:t>
      </w:r>
      <w:r w:rsidRPr="003F3236">
        <w:rPr>
          <w:sz w:val="20"/>
          <w:szCs w:val="20"/>
        </w:rPr>
        <w:t xml:space="preserve"> респондентов. </w:t>
      </w:r>
    </w:p>
    <w:p w:rsidR="00426AB7" w:rsidRPr="003F3236" w:rsidRDefault="00426AB7" w:rsidP="00426AB7">
      <w:pPr>
        <w:ind w:firstLine="0"/>
        <w:rPr>
          <w:bCs w:val="0"/>
          <w:sz w:val="20"/>
          <w:szCs w:val="20"/>
        </w:rPr>
      </w:pPr>
    </w:p>
    <w:p w:rsidR="00426AB7" w:rsidRDefault="00426AB7" w:rsidP="00426AB7">
      <w:pPr>
        <w:ind w:firstLine="0"/>
        <w:rPr>
          <w:sz w:val="20"/>
          <w:szCs w:val="20"/>
          <w:lang w:eastAsia="en-US"/>
        </w:rPr>
      </w:pPr>
    </w:p>
    <w:p w:rsidR="00426AB7" w:rsidRPr="003F3236" w:rsidRDefault="00426AB7" w:rsidP="00426AB7">
      <w:pPr>
        <w:ind w:firstLine="0"/>
        <w:rPr>
          <w:sz w:val="20"/>
          <w:szCs w:val="20"/>
          <w:lang w:eastAsia="en-US"/>
        </w:rPr>
      </w:pPr>
      <w:r w:rsidRPr="003F3236">
        <w:rPr>
          <w:sz w:val="20"/>
          <w:szCs w:val="20"/>
          <w:lang w:eastAsia="en-US"/>
        </w:rPr>
        <w:t xml:space="preserve">Итоговый показатель оценки качества оказания услуг учреждениями культуры Вилюйского района Республики Саха (Якутия) составил </w:t>
      </w:r>
      <w:r w:rsidRPr="003F3236">
        <w:rPr>
          <w:b/>
          <w:sz w:val="20"/>
          <w:szCs w:val="20"/>
          <w:lang w:eastAsia="en-US"/>
        </w:rPr>
        <w:t>87</w:t>
      </w:r>
      <w:r w:rsidRPr="003F3236">
        <w:rPr>
          <w:sz w:val="20"/>
          <w:szCs w:val="20"/>
          <w:lang w:eastAsia="en-US"/>
        </w:rPr>
        <w:t xml:space="preserve"> баллов.</w:t>
      </w:r>
    </w:p>
    <w:p w:rsidR="00426AB7" w:rsidRPr="003F3236" w:rsidRDefault="00426AB7" w:rsidP="00426AB7">
      <w:pPr>
        <w:ind w:firstLine="0"/>
        <w:rPr>
          <w:sz w:val="20"/>
          <w:szCs w:val="20"/>
          <w:lang w:eastAsia="en-US"/>
        </w:rPr>
      </w:pPr>
    </w:p>
    <w:p w:rsidR="00426AB7" w:rsidRPr="003F3236" w:rsidRDefault="00426AB7" w:rsidP="00426AB7">
      <w:pPr>
        <w:pStyle w:val="a4"/>
        <w:rPr>
          <w:rFonts w:ascii="Times New Roman" w:hAnsi="Times New Roman" w:cs="Times New Roman"/>
          <w:color w:val="8496B0" w:themeColor="text2" w:themeTint="99"/>
          <w:sz w:val="20"/>
          <w:szCs w:val="20"/>
        </w:rPr>
      </w:pPr>
      <w:r w:rsidRPr="003F3236">
        <w:rPr>
          <w:rFonts w:ascii="Times New Roman" w:hAnsi="Times New Roman" w:cs="Times New Roman"/>
          <w:color w:val="8496B0" w:themeColor="text2" w:themeTint="99"/>
          <w:sz w:val="20"/>
          <w:szCs w:val="20"/>
        </w:rPr>
        <w:t>Рейтинг. Общий рейтинг</w:t>
      </w:r>
    </w:p>
    <w:p w:rsidR="00426AB7" w:rsidRPr="003F3236" w:rsidRDefault="00426AB7" w:rsidP="00426AB7">
      <w:pPr>
        <w:pStyle w:val="a3"/>
        <w:rPr>
          <w:rFonts w:ascii="Times New Roman" w:hAnsi="Times New Roman" w:cs="Times New Roman"/>
          <w:color w:val="8496B0" w:themeColor="text2" w:themeTint="99"/>
          <w:sz w:val="20"/>
          <w:szCs w:val="20"/>
        </w:rPr>
      </w:pPr>
      <w:r w:rsidRPr="003F3236">
        <w:rPr>
          <w:rFonts w:ascii="Times New Roman" w:hAnsi="Times New Roman" w:cs="Times New Roman"/>
          <w:color w:val="8496B0" w:themeColor="text2" w:themeTint="99"/>
          <w:sz w:val="20"/>
          <w:szCs w:val="20"/>
        </w:rPr>
        <w:t>Таблица 6</w:t>
      </w:r>
    </w:p>
    <w:tbl>
      <w:tblPr>
        <w:tblW w:w="8946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789"/>
        <w:gridCol w:w="790"/>
        <w:gridCol w:w="790"/>
        <w:gridCol w:w="790"/>
        <w:gridCol w:w="790"/>
        <w:gridCol w:w="790"/>
        <w:gridCol w:w="790"/>
      </w:tblGrid>
      <w:tr w:rsidR="00426AB7" w:rsidRPr="003F3236" w:rsidTr="0052270C">
        <w:trPr>
          <w:cantSplit/>
          <w:trHeight w:val="2612"/>
          <w:tblHeader/>
        </w:trPr>
        <w:tc>
          <w:tcPr>
            <w:tcW w:w="582" w:type="dxa"/>
            <w:shd w:val="clear" w:color="auto" w:fill="ACB9CA" w:themeFill="text2" w:themeFillTint="66"/>
            <w:vAlign w:val="center"/>
          </w:tcPr>
          <w:p w:rsidR="00426AB7" w:rsidRPr="003F3236" w:rsidRDefault="00426AB7" w:rsidP="0052270C">
            <w:pPr>
              <w:autoSpaceDE/>
              <w:autoSpaceDN/>
              <w:adjustRightInd/>
              <w:spacing w:before="40" w:after="40"/>
              <w:ind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3F3236">
              <w:rPr>
                <w:b/>
                <w:bCs w:val="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CB9CA" w:themeFill="text2" w:themeFillTint="66"/>
            <w:noWrap/>
            <w:vAlign w:val="center"/>
            <w:hideMark/>
          </w:tcPr>
          <w:p w:rsidR="00426AB7" w:rsidRPr="003F3236" w:rsidRDefault="00426AB7" w:rsidP="0052270C">
            <w:pPr>
              <w:autoSpaceDE/>
              <w:autoSpaceDN/>
              <w:adjustRightInd/>
              <w:spacing w:before="40" w:after="40"/>
              <w:ind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3F3236">
              <w:rPr>
                <w:b/>
                <w:bCs w:val="0"/>
                <w:sz w:val="20"/>
                <w:szCs w:val="20"/>
              </w:rPr>
              <w:t>Наименование организации культуры</w:t>
            </w:r>
          </w:p>
        </w:tc>
        <w:tc>
          <w:tcPr>
            <w:tcW w:w="789" w:type="dxa"/>
            <w:shd w:val="clear" w:color="auto" w:fill="ACB9CA" w:themeFill="text2" w:themeFillTint="66"/>
            <w:noWrap/>
            <w:textDirection w:val="btLr"/>
            <w:vAlign w:val="center"/>
            <w:hideMark/>
          </w:tcPr>
          <w:p w:rsidR="00426AB7" w:rsidRPr="003F3236" w:rsidRDefault="00426AB7" w:rsidP="0052270C">
            <w:pPr>
              <w:autoSpaceDE/>
              <w:autoSpaceDN/>
              <w:adjustRightInd/>
              <w:spacing w:before="40" w:after="40"/>
              <w:ind w:left="113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3F3236">
              <w:rPr>
                <w:b/>
                <w:bCs w:val="0"/>
                <w:sz w:val="20"/>
                <w:szCs w:val="20"/>
              </w:rPr>
              <w:t xml:space="preserve">1. Открытость и доступность информации </w:t>
            </w:r>
          </w:p>
        </w:tc>
        <w:tc>
          <w:tcPr>
            <w:tcW w:w="790" w:type="dxa"/>
            <w:shd w:val="clear" w:color="auto" w:fill="ACB9CA" w:themeFill="text2" w:themeFillTint="66"/>
            <w:noWrap/>
            <w:textDirection w:val="btLr"/>
            <w:vAlign w:val="center"/>
          </w:tcPr>
          <w:p w:rsidR="00426AB7" w:rsidRPr="003F3236" w:rsidRDefault="00426AB7" w:rsidP="0052270C">
            <w:pPr>
              <w:autoSpaceDE/>
              <w:autoSpaceDN/>
              <w:adjustRightInd/>
              <w:spacing w:before="40" w:after="40"/>
              <w:ind w:left="113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3F3236">
              <w:rPr>
                <w:b/>
                <w:bCs w:val="0"/>
                <w:sz w:val="20"/>
                <w:szCs w:val="20"/>
              </w:rPr>
              <w:t>2. Комфортность условий предоставления услуг</w:t>
            </w:r>
          </w:p>
        </w:tc>
        <w:tc>
          <w:tcPr>
            <w:tcW w:w="790" w:type="dxa"/>
            <w:shd w:val="clear" w:color="auto" w:fill="ACB9CA" w:themeFill="text2" w:themeFillTint="66"/>
            <w:textDirection w:val="btLr"/>
            <w:vAlign w:val="center"/>
          </w:tcPr>
          <w:p w:rsidR="00426AB7" w:rsidRPr="003F3236" w:rsidRDefault="00426AB7" w:rsidP="0052270C">
            <w:pPr>
              <w:autoSpaceDE/>
              <w:autoSpaceDN/>
              <w:adjustRightInd/>
              <w:spacing w:before="40" w:after="40"/>
              <w:ind w:left="113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3F3236">
              <w:rPr>
                <w:b/>
                <w:bCs w:val="0"/>
                <w:sz w:val="20"/>
                <w:szCs w:val="20"/>
              </w:rPr>
              <w:t>3. Доступность услуг для инвалидов</w:t>
            </w:r>
          </w:p>
        </w:tc>
        <w:tc>
          <w:tcPr>
            <w:tcW w:w="790" w:type="dxa"/>
            <w:shd w:val="clear" w:color="auto" w:fill="ACB9CA" w:themeFill="text2" w:themeFillTint="66"/>
            <w:textDirection w:val="btLr"/>
            <w:vAlign w:val="center"/>
          </w:tcPr>
          <w:p w:rsidR="00426AB7" w:rsidRPr="003F3236" w:rsidRDefault="00426AB7" w:rsidP="0052270C">
            <w:pPr>
              <w:ind w:left="113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3F3236">
              <w:rPr>
                <w:b/>
                <w:bCs w:val="0"/>
                <w:sz w:val="20"/>
                <w:szCs w:val="20"/>
              </w:rPr>
              <w:t xml:space="preserve">4. Доброжелательность, вежливость работников организации </w:t>
            </w:r>
          </w:p>
        </w:tc>
        <w:tc>
          <w:tcPr>
            <w:tcW w:w="790" w:type="dxa"/>
            <w:shd w:val="clear" w:color="auto" w:fill="ACB9CA" w:themeFill="text2" w:themeFillTint="66"/>
            <w:textDirection w:val="btLr"/>
            <w:vAlign w:val="center"/>
          </w:tcPr>
          <w:p w:rsidR="00426AB7" w:rsidRPr="003F3236" w:rsidRDefault="00426AB7" w:rsidP="0052270C">
            <w:pPr>
              <w:ind w:left="113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3F3236">
              <w:rPr>
                <w:b/>
                <w:bCs w:val="0"/>
                <w:sz w:val="20"/>
                <w:szCs w:val="20"/>
              </w:rPr>
              <w:t>5. Удовлетворенность условиями оказания услуг</w:t>
            </w:r>
          </w:p>
        </w:tc>
        <w:tc>
          <w:tcPr>
            <w:tcW w:w="790" w:type="dxa"/>
            <w:shd w:val="clear" w:color="auto" w:fill="ACB9CA" w:themeFill="text2" w:themeFillTint="66"/>
            <w:textDirection w:val="btLr"/>
            <w:vAlign w:val="center"/>
          </w:tcPr>
          <w:p w:rsidR="00426AB7" w:rsidRPr="003F3236" w:rsidRDefault="00426AB7" w:rsidP="0052270C">
            <w:pPr>
              <w:autoSpaceDE/>
              <w:autoSpaceDN/>
              <w:adjustRightInd/>
              <w:spacing w:before="40" w:after="40"/>
              <w:ind w:left="113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3F3236">
              <w:rPr>
                <w:b/>
                <w:bCs w:val="0"/>
                <w:sz w:val="20"/>
                <w:szCs w:val="20"/>
              </w:rPr>
              <w:t>ОБЩИЙ БАЛЛ</w:t>
            </w:r>
          </w:p>
        </w:tc>
        <w:tc>
          <w:tcPr>
            <w:tcW w:w="790" w:type="dxa"/>
            <w:shd w:val="clear" w:color="auto" w:fill="ACB9CA" w:themeFill="text2" w:themeFillTint="66"/>
            <w:textDirection w:val="btLr"/>
            <w:vAlign w:val="center"/>
          </w:tcPr>
          <w:p w:rsidR="00426AB7" w:rsidRPr="003F3236" w:rsidRDefault="00426AB7" w:rsidP="0052270C">
            <w:pPr>
              <w:autoSpaceDE/>
              <w:autoSpaceDN/>
              <w:adjustRightInd/>
              <w:spacing w:before="40" w:after="40"/>
              <w:ind w:left="113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3F3236">
              <w:rPr>
                <w:b/>
                <w:bCs w:val="0"/>
                <w:sz w:val="20"/>
                <w:szCs w:val="20"/>
              </w:rPr>
              <w:t>РЕЙТИНГ</w:t>
            </w:r>
          </w:p>
        </w:tc>
      </w:tr>
      <w:tr w:rsidR="00426AB7" w:rsidRPr="003F3236" w:rsidTr="0052270C">
        <w:trPr>
          <w:trHeight w:val="20"/>
        </w:trPr>
        <w:tc>
          <w:tcPr>
            <w:tcW w:w="582" w:type="dxa"/>
            <w:vAlign w:val="center"/>
          </w:tcPr>
          <w:p w:rsidR="00426AB7" w:rsidRPr="003F3236" w:rsidRDefault="00426AB7" w:rsidP="0052270C">
            <w:pPr>
              <w:spacing w:before="20" w:after="2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32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26AB7" w:rsidRPr="003F3236" w:rsidRDefault="00426AB7" w:rsidP="0052270C">
            <w:pPr>
              <w:spacing w:before="20" w:after="20"/>
              <w:ind w:firstLine="0"/>
              <w:rPr>
                <w:color w:val="000000"/>
                <w:sz w:val="20"/>
                <w:szCs w:val="20"/>
              </w:rPr>
            </w:pPr>
            <w:r w:rsidRPr="003F3236">
              <w:rPr>
                <w:sz w:val="20"/>
                <w:szCs w:val="20"/>
              </w:rPr>
              <w:t>Муниципальное бюджетное учреждение культуры дом народного творчества "</w:t>
            </w:r>
            <w:proofErr w:type="spellStart"/>
            <w:r w:rsidRPr="003F3236">
              <w:rPr>
                <w:sz w:val="20"/>
                <w:szCs w:val="20"/>
              </w:rPr>
              <w:t>Эйгэ</w:t>
            </w:r>
            <w:proofErr w:type="spellEnd"/>
            <w:r w:rsidRPr="003F3236">
              <w:rPr>
                <w:sz w:val="20"/>
                <w:szCs w:val="20"/>
              </w:rPr>
              <w:t xml:space="preserve">" муниципального образования "Тасагарский наслег" муниципального района "Вилюйский улус (район)" Республики Саха (Якутия) (с. </w:t>
            </w:r>
            <w:proofErr w:type="spellStart"/>
            <w:r w:rsidRPr="003F3236">
              <w:rPr>
                <w:sz w:val="20"/>
                <w:szCs w:val="20"/>
              </w:rPr>
              <w:t>Тасагар</w:t>
            </w:r>
            <w:proofErr w:type="spellEnd"/>
            <w:r w:rsidRPr="003F3236">
              <w:rPr>
                <w:sz w:val="20"/>
                <w:szCs w:val="20"/>
              </w:rPr>
              <w:t>, ул. Октябрьская, 24)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26AB7" w:rsidRPr="003F3236" w:rsidRDefault="00426AB7" w:rsidP="0052270C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3F3236">
              <w:rPr>
                <w:sz w:val="20"/>
                <w:szCs w:val="20"/>
              </w:rPr>
              <w:t>87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26AB7" w:rsidRPr="003F3236" w:rsidRDefault="00426AB7" w:rsidP="0052270C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3F3236">
              <w:rPr>
                <w:sz w:val="20"/>
                <w:szCs w:val="20"/>
              </w:rPr>
              <w:t>70</w:t>
            </w:r>
          </w:p>
        </w:tc>
        <w:tc>
          <w:tcPr>
            <w:tcW w:w="790" w:type="dxa"/>
            <w:vAlign w:val="center"/>
          </w:tcPr>
          <w:p w:rsidR="00426AB7" w:rsidRPr="003F3236" w:rsidRDefault="00426AB7" w:rsidP="0052270C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3F3236">
              <w:rPr>
                <w:sz w:val="20"/>
                <w:szCs w:val="20"/>
              </w:rPr>
              <w:t>84</w:t>
            </w:r>
          </w:p>
        </w:tc>
        <w:tc>
          <w:tcPr>
            <w:tcW w:w="790" w:type="dxa"/>
            <w:vAlign w:val="center"/>
          </w:tcPr>
          <w:p w:rsidR="00426AB7" w:rsidRPr="003F3236" w:rsidRDefault="00426AB7" w:rsidP="0052270C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3F3236">
              <w:rPr>
                <w:sz w:val="20"/>
                <w:szCs w:val="20"/>
              </w:rPr>
              <w:t>100</w:t>
            </w:r>
          </w:p>
        </w:tc>
        <w:tc>
          <w:tcPr>
            <w:tcW w:w="790" w:type="dxa"/>
            <w:vAlign w:val="center"/>
          </w:tcPr>
          <w:p w:rsidR="00426AB7" w:rsidRPr="003F3236" w:rsidRDefault="00426AB7" w:rsidP="0052270C">
            <w:pPr>
              <w:spacing w:before="20" w:after="2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323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0" w:type="dxa"/>
            <w:vAlign w:val="center"/>
          </w:tcPr>
          <w:p w:rsidR="00426AB7" w:rsidRPr="003F3236" w:rsidRDefault="00426AB7" w:rsidP="0052270C">
            <w:pPr>
              <w:spacing w:before="20" w:after="2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3236">
              <w:rPr>
                <w:color w:val="000000"/>
                <w:sz w:val="20"/>
                <w:szCs w:val="20"/>
              </w:rPr>
              <w:t>88,20</w:t>
            </w:r>
          </w:p>
        </w:tc>
        <w:tc>
          <w:tcPr>
            <w:tcW w:w="790" w:type="dxa"/>
            <w:vAlign w:val="center"/>
          </w:tcPr>
          <w:p w:rsidR="00426AB7" w:rsidRPr="003F3236" w:rsidRDefault="00426AB7" w:rsidP="0052270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3236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E83ACA" w:rsidRDefault="00E83ACA"/>
    <w:sectPr w:rsidR="00E8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7B19"/>
    <w:multiLevelType w:val="hybridMultilevel"/>
    <w:tmpl w:val="75580D9A"/>
    <w:lvl w:ilvl="0" w:tplc="7892FD06">
      <w:start w:val="1"/>
      <w:numFmt w:val="bullet"/>
      <w:lvlText w:val="−"/>
      <w:lvlJc w:val="left"/>
      <w:pPr>
        <w:ind w:left="70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49362CD"/>
    <w:multiLevelType w:val="hybridMultilevel"/>
    <w:tmpl w:val="575CE0B0"/>
    <w:lvl w:ilvl="0" w:tplc="7892FD0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F0BB2"/>
    <w:multiLevelType w:val="hybridMultilevel"/>
    <w:tmpl w:val="BCC0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4520D4"/>
    <w:multiLevelType w:val="hybridMultilevel"/>
    <w:tmpl w:val="39106260"/>
    <w:lvl w:ilvl="0" w:tplc="04190017">
      <w:start w:val="1"/>
      <w:numFmt w:val="lowerLetter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B7"/>
    <w:rsid w:val="00426AB7"/>
    <w:rsid w:val="00E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0053-ADDC-4C52-86FC-FED765EB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B7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AB7"/>
    <w:pPr>
      <w:keepNext/>
      <w:keepLines/>
      <w:pageBreakBefore/>
      <w:spacing w:before="480"/>
      <w:ind w:firstLine="0"/>
      <w:outlineLvl w:val="0"/>
    </w:pPr>
    <w:rPr>
      <w:rFonts w:ascii="Arial Narrow" w:eastAsiaTheme="majorEastAsia" w:hAnsi="Arial Narrow" w:cs="Arial"/>
      <w:b/>
      <w:bCs w:val="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26AB7"/>
    <w:pPr>
      <w:keepNext/>
      <w:spacing w:after="120"/>
      <w:ind w:firstLine="0"/>
    </w:pPr>
    <w:rPr>
      <w:rFonts w:ascii="Arial" w:hAnsi="Arial" w:cs="Arial"/>
      <w:b/>
      <w:bCs w:val="0"/>
      <w:color w:val="525252" w:themeColor="accent3" w:themeShade="80"/>
      <w:sz w:val="22"/>
      <w:szCs w:val="24"/>
    </w:rPr>
  </w:style>
  <w:style w:type="paragraph" w:styleId="a4">
    <w:name w:val="Subtitle"/>
    <w:basedOn w:val="a"/>
    <w:next w:val="a"/>
    <w:link w:val="a5"/>
    <w:uiPriority w:val="11"/>
    <w:qFormat/>
    <w:rsid w:val="00426AB7"/>
    <w:pPr>
      <w:spacing w:after="360"/>
      <w:ind w:left="720" w:firstLine="0"/>
    </w:pPr>
    <w:rPr>
      <w:rFonts w:ascii="Arial Narrow" w:eastAsiaTheme="majorEastAsia" w:hAnsi="Arial Narrow" w:cstheme="majorBidi"/>
      <w:b/>
      <w:color w:val="7B7B7B" w:themeColor="accent3" w:themeShade="BF"/>
      <w:szCs w:val="24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426AB7"/>
    <w:rPr>
      <w:rFonts w:ascii="Arial Narrow" w:eastAsiaTheme="majorEastAsia" w:hAnsi="Arial Narrow" w:cstheme="majorBidi"/>
      <w:b/>
      <w:bCs/>
      <w:color w:val="7B7B7B" w:themeColor="accent3" w:themeShade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426AB7"/>
    <w:rPr>
      <w:rFonts w:ascii="Arial Narrow" w:eastAsiaTheme="majorEastAsia" w:hAnsi="Arial Narrow" w:cs="Arial"/>
      <w:b/>
      <w:sz w:val="4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2021-04-21T13:43:00Z</dcterms:created>
  <dcterms:modified xsi:type="dcterms:W3CDTF">2021-04-21T13:46:00Z</dcterms:modified>
</cp:coreProperties>
</file>